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ind w:firstLine="482" w:firstLineChars="20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吴中区科技企业培育“甪端计划”实施意见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习近平新时代中国特色社会主义思想为指导，全面贯彻党的十九大和十九届二中、三中、四中、五中全会精神，深入实施创新驱动发展战略，培育壮大创新型企业集群，发挥以“甪端”企业（即超级独角兽、独角兽、准独角兽企业）为代表的科技企业在区域高质量发展中的创新引领作用，打造科技创新高峰企业和标志性产业，特制定以下意见。</w:t>
      </w:r>
    </w:p>
    <w:p>
      <w:pPr>
        <w:widowControl/>
        <w:shd w:val="clear" w:color="auto" w:fill="FFFFFF"/>
        <w:spacing w:line="36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一、总体要求</w:t>
      </w:r>
    </w:p>
    <w:p>
      <w:pPr>
        <w:widowControl/>
        <w:shd w:val="clear" w:color="auto" w:fill="FFFFFF"/>
        <w:spacing w:line="36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(一）指导思想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聚焦战略性新兴产业和先导产业，按照整体谋划、分类指导、精准施策的原则，构建从科技型中小企业、高新技术企业、瞪羚企业、独角兽企业到上市企业的企业成长培育机制，打造一批创新发展的标杆型企业，进一步激发全社会科技创新和经济发展活力，助推区域经济高质量发展。</w:t>
      </w:r>
    </w:p>
    <w:p>
      <w:pPr>
        <w:widowControl/>
        <w:shd w:val="clear" w:color="auto" w:fill="FFFFFF"/>
        <w:spacing w:line="36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(二）发展目标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力争通过三年时间，到2023年: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1．全区集聚有全球影响力的超级独角兽企业1~2家，独角兽、准独角兽企业总量超100家，基本建成聚焦主导产业和特色产业分层分类的企业培育扶持体系。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2．发挥“甪端”企业对新技术、新产业、新业态、新模式的引领带动效应，加快引进和培育专精特新科技型企业，全区有效高新技术企业 1500~1800家，科技型中小企业1800~2000家。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3．激发“甪端”企业聚才用才主体活力，支持“甪端”企业培养和引进领军型创新创业团队。全区新增省级及以上双创人才（团队）超 30人，姑苏领军人才（团队）超100 人，区科技领军人才（团队）超300人。</w:t>
      </w:r>
    </w:p>
    <w:p>
      <w:pPr>
        <w:widowControl/>
        <w:shd w:val="clear" w:color="auto" w:fill="FFFFFF"/>
        <w:spacing w:line="36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二、重点任务</w:t>
      </w:r>
    </w:p>
    <w:p>
      <w:pPr>
        <w:widowControl/>
        <w:shd w:val="clear" w:color="auto" w:fill="FFFFFF"/>
        <w:spacing w:line="36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(一）集聚各类创新资源，夯实创新发展基础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放眼全球加速集聚一批海内外创新资源，吸引人才、创新企业、高校、研发机构、各类载体落地吴中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引进各类高端创新人才。支持“甪端”企业依托各类引智工程，积极培养和引进创新型领军人才（团队)，夯实人才基础。贯彻落实人才奖励新政，降低人才落户门槛，吸引各类人才特别是年轻人才来吴中创新创业。深入推进东吴科技企业家、创新创业领军人才、重点产业紧缺人才等人才计划，着力引进具有引领性、原创性、标志性的顶尖人才（团队)，按“一事一议”原则给予量身定制、上不封顶的特殊支持。积极对接上级部门，设立外国专家和高端人才“吴中窗口”，提高境外人才工作、居留和出入境服务便利度，为外籍高层次人才申请在华永久居留、办理居留许可、优秀外籍学生创新创业等提供更大便利。(责任部门:★区人才办、区科技局、区工信局、区人社局、吴中公安中分局、度假区公安分局，各镇&lt;区&gt;、街道)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2.加大招商引资力度。围绕吴中“2+2”产业，支持各板块引进可能存在爆发式增长的“甪端”企业潜力项目，重点支持引进平台型企业。加大招商引资奖励力度，对认定估值超过70 亿元（或等额美元）的“独角兽”项目，或市级以上“独角兽”培育企业，对主要引荐者和贡献者授予荣誉或给予一定的奖励。(责任部门:★区商务局、区发改委、区科技局、区财政局，各镇&lt;区&gt;、街道)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深化协同创新合作。支持创新载体建设，对新认定的国家、省、市级科技企业孵化器，分别给予300万元、100万元、20万元的资金补助，并给予每年最高80万元绩效奖励。对新认定的国家、省、市级众创空间，分别给予50万元、30万元、20万元的资金补己助，并给予每年最高50万元绩效奖励。组织开展“科技行”“青年博士进企业”等形式多样的产学研活动,加强与国内名城、名校(院、所)、名企沟通交流和广泛合作。加大对技术转让和成果转化的支持力度，对技术输出方根据企业技术合同年登记成交额给予最高100万元的资金补助。对重大科技成果转化项目，市区联动按技术合同交易额的25%，给予最高500万元资助。(责任部门:★区科技局、区人才办、区财政局、区科技镇长团，各镇&lt;区&gt;、街道)</w:t>
      </w:r>
    </w:p>
    <w:p>
      <w:pPr>
        <w:widowControl/>
        <w:shd w:val="clear" w:color="auto" w:fill="FFFFFF"/>
        <w:spacing w:line="36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(二）加大精准支持力度，助力企业创新发展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以更有效的举措，更精准的手段，更大力度地支持企业创新，推动企业爆发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式成长。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．构建创新型企业培育梯队。建立健全分层培育体系，构建从科技型中小企业、“专精特新”小巨人企业、高新技术企业、瞪羚企业、独角兽企业到上市企业的成长培育机制，打造一批创新发展的标杆型企业，并给予最高⒉2亿元的支持。对当年完成高企申报材料的企业奖励1万元;高企入库企业奖励5万元;新申报认定的高企奖励25万元;有效期满重新申报认定的高企奖励15万元。对符合要求的科技服务机构，开展高新技术企业服务且认定10家以上的，每成功认定1家高企奖励2万元，上不封顶。(责任部门:★区科技局、区发改委、区工信局、区市场监管局、区税务局、区财政局，各镇&lt;区&gt;、街道)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．加大创新研发支持力度。鼓励“甪端”企业开展研发机构建设。对新认定的省级新型研发机构，给予最高1亿元支持;对新认定的市级新型研发机构，给予最高1200万元支持。对新认定国家（重点）实验室、国家技术创新中心等国家级重大科技平台的单位，给予最高2000万元奖励。支持“甪端”企业开展颠覆性创新，推动新技术和新模式应用。对纳入苏州市“独角兽”企业培育库的企业，自入库次年起，按照其上一年度实际发生研发费用（经税务部门认定的研究开发费用)的20%给予最高500万元的研发后补助。对于首次列入苏州市“独角兽”企业名单或首次列入国际国内知名机构发布的“独角兽”榜单的企业最高给予一次性200万元的奖励。(责任部门:★区科技局、区税务局、区财政局，各镇&lt;区&gt;、街道)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。推动平台型企业发展。围绕互联网+、人工智能、电子商务、金融科技、文化旅游、大健康和交通出行等“四新”经济领域，构建完善以科技资源、服务保障和政策制度为支撑的公共服务体系，有力推动新技术、新产业、新业态、新模式快速集聚发展。大力引进平台型企业，鼓励支持平台型企业加强与本地创新型企业的业务对接，依托平台型企业强大的资金聚集、资源整合和管理能力，通过业务拆分重组、产业链延伸投资、对外股权投资等方式孕育更多“甪端”企业。(责任部门:★区发改委、区商务局、区工信局、区科技局，各镇&lt;区&gt;、街道)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．打造“2+2”地标产业。鼓励主导产业做大做强，对机器人与智能制造企业，根据智能装备、关键部件的年销售收入，给予最高100万元的奖励;对生物医药及大健康企业，根据年主营业务收入，给予最高50万元奖励。支持企业开展智能化改造，按项目总投入给予不超过10%的补助，最高500万元。推进工业互联网创新发展，对完成国家、省级工业互联网标识解析二级节点建设单位，分别给予最高300万、100万元奖励;鼓励区内重点工业互联网平台、服务商赋能区内企业上平台上标识，并根据综合考评，最高给予补贴金额100 万元。支持打造检验检测特色产业基地。优先支持企业争取各级人才类、科技类、商务类、产业类等专项政策，并在产品审批、金融对接、市场拓展等方面提供服务，切实解决企业发展过程中遇到的问题。(责任部门:★区工信局、区发改委、区科技局、区人才办、区市场监管局、区卫健委、区商务局、区行政审批局、区金融监管局、区财政局，各镇&lt;区&gt;、街道)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．集聚发展股权投资基金。加快构建天使投资基金、VC基金、PE基金等多层次的股权投资基金体系，引导社会资本参与，充分发挥股权投资基金价值发现功能，以市场化、专业化的力量发掘和培育“甪端”企业。积极争取国家级产业投资基金投资“甪端”企业，探索设立区级产业引导基金，推动产业引导基金及子基金向“甪端”企业投资，为企业爆发式成长营造良好的股权类募资环境。支持各板块围绕“2+2”产业领域探索设立“甪端”企业投资基金。(责任部门:★区发改委、区财政局、区金融监管局、区人才办、区科技局、金控公司，各镇&lt;区&gt;、街道)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.强化金融资本支持力度。鼓励“甪端”上市企业通过定向增发、优先股、发行可转换债券等方式进行再融资。加大科技信贷支持，对其科技贷款利息支出的50%，给予最高100万元补贴，对合作银行给其发放“科贷通”贷款给予最高1000万元的风险补偿。鼓励股权投资基金管理机构和银行建立“投贷联动”合作机制，提供“股权+债权”的综合融资服务。试点开展“科技保险创新券”工作，化解科技研发风险。支持保险公司开发契合创新研发特征的科技保险险种，为“甪端”企业提供科技研发费用损失保险。发挥东吴贷等产品优势，支持“甪端”企业进行无抵押贷款等创新型金融方式获得融资，并通过贴息贴费降低企业融资成本。做好“甪端”企业的上市服务工作，启用“一企一策”专项协调机制解决其上市过程遇到的问题。对在境内外主要资本市场实现IPO 的企业，给予财政奖励。(责任部门:★区科技局、★区金融监管局、区人才办、区财政局，各镇&lt;区&gt;、街道)</w:t>
      </w:r>
    </w:p>
    <w:p>
      <w:pPr>
        <w:widowControl/>
        <w:shd w:val="clear" w:color="auto" w:fill="FFFFFF"/>
        <w:spacing w:line="36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(三)优化配套服务环境，助推企业加速发展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突出政府导向，加强部门协同，明确各部门责任目标，充分发挥政府服务和保障作用，共同推进“甪端”企业发展。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.强化上下联动培育机制。对获得区级认定的“甪端”企业，按规定比例足额兑现奖励资金，支持企业创新发展。鼓励各地加大“甪端”企业培育力度，研究制定培育扶持政策，设立“甪端”企业培育资金。构建上下联动、多层次、全方位的培育体系，形成工作合力，发挥叠加效应，争取在优势产业中培育出更多“甪端”企业。(责任部门:★区科技局，各镇&lt;区&gt;、街道)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11.加强生产要素服务保障。对“甪端”企业募集资金新建、扩建符合国家产业发展政策的项目，全力做好资源保障和指标配置工作，不断优化工程建设项目审批改革，提升跨部门协作效率，对产业类项目实行“拿地即开工”审批模式。按照节约集约利用原则,研究推进适当放宽研发类项目配套面积比例、整体绿地率把控、土地复合利用、产业定制地等政策创新，给予“甪端”企业房租补贴，切实解决“甪端”企业的生产和发展用地需求。(责任部门:★吴中资规分局、区行政审批局、区科技局，各镇&lt;区&gt;、街道)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.加强创新产品扶持推广。支持“甪端”企业首台(套)重大技术装备、重点新材料及研发技术服务的推广和试用，对经江苏省级及以上认定的首台(套)重大装备给予一次性奖励，支持金额最高不超过1000万元，支持符合条件的首台套装备申报国家、省保险补偿。围绕国家重点支持的高新技术领域，组织开展苏州市核心技术产品申报工作。对入选的核心技术产品按年度新增国内销售额的一定比例给予奖励，每家企业每年奖励最高不超过200万元。(责任部门:★区工信局、★区科技局、区财政局，各镇&lt;区&gt;、街道)</w:t>
      </w:r>
    </w:p>
    <w:p>
      <w:pPr>
        <w:widowControl/>
        <w:shd w:val="clear" w:color="auto" w:fill="FFFFFF"/>
        <w:spacing w:line="36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三、强化组织实施保障</w:t>
      </w:r>
    </w:p>
    <w:p>
      <w:pPr>
        <w:widowControl/>
        <w:shd w:val="clear" w:color="auto" w:fill="FFFFFF"/>
        <w:spacing w:line="36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(一）健全区级协调领导机制。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各地、区各相关部门有关领导为成员的吴中区“甪端”企业培育工作领导小组，统筹协调全区“甪端”企业培育工作，定期研究“甪端”企业发展情况，协调解决企业创新发展中碰到的问题。各成员单位应明确联络员，负责日常协调工作。领导小组办公室中设在区科技局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二）优化职能单位服务机制。明确各成员单位职能分工，进一步提升政府服务效能，对“甪端”企业在技术研发投入、投资融资、项目用地、人才引进、市场开拓、上市挂牌、兼并重组等发展过程中遇到的重点问题、共性问题，各有关职能单位应予以积极配合。对个别企业发展过程中遇到的个性问题，应以“一事一议、一企一策”为原则，加快办理速度，及时解决问题，必要时可提请区“甪端”企业培育工作领导小组召开专项协调会，予以协调会商。</w:t>
      </w:r>
    </w:p>
    <w:p>
      <w:pPr>
        <w:widowControl/>
        <w:shd w:val="clear" w:color="auto" w:fill="FFFFFF"/>
        <w:spacing w:line="36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(三)构建绩效考核评价机制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督促指导各地做好“甪端”企业培育工作，下达分年度各板块“甪端”企业培育目标任务，对各地和相关部门进行考核督查，以绩效为导向，以考核为扒手，推动落实“甪端”企业培育工作。对地方贡献大的“甪端”企业给予贡献奖励。</w:t>
      </w:r>
    </w:p>
    <w:p>
      <w:pPr>
        <w:widowControl/>
        <w:shd w:val="clear" w:color="auto" w:fill="FFFFFF"/>
        <w:spacing w:line="36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四、附则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1．本意见自2021年5月1日起实施，有效期至2023年12月31日。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本意见由区政府负责解释，由区人才办、区发改委、区科技局、区工信局、吴中公安分局、度假区公安分局、区财政局、G区人社局、吴中资规分局、区商务局、区卫生健康委、区行政审批局、区市场监管局、区统计局、区金融监管局、区税务局等部门承担具体的解释工作;相关政策条款的扶持资金从对应主管部门的专项资金中列支。</w:t>
      </w:r>
    </w:p>
    <w:p>
      <w:pPr>
        <w:widowControl/>
        <w:shd w:val="clear" w:color="auto" w:fill="FFFFFF"/>
        <w:spacing w:line="3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对于已经依据区政府的其他政策措施获得过资金奖励的项目，本意见不再重复给予资金奖励。符合本意见多条规定的同一项目、同一事项，按就高不叠加原则予以支持。对上级有明确支持要求的项目，按上级政策要求进行支持，对于本意见中部分奖励优于市级政策的条款，在享受市级政策的基础上补齐差额部分。本意见中相关政策若遇上级政策调整，可视具体情况进行调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42"/>
    <w:rsid w:val="00030ED2"/>
    <w:rsid w:val="00043D9C"/>
    <w:rsid w:val="000A33E7"/>
    <w:rsid w:val="000B49C8"/>
    <w:rsid w:val="000C25A5"/>
    <w:rsid w:val="000C616F"/>
    <w:rsid w:val="000D79F1"/>
    <w:rsid w:val="000E28BD"/>
    <w:rsid w:val="000E2AA3"/>
    <w:rsid w:val="001277B8"/>
    <w:rsid w:val="00152E54"/>
    <w:rsid w:val="001773A3"/>
    <w:rsid w:val="001A5ACB"/>
    <w:rsid w:val="001E3A63"/>
    <w:rsid w:val="002368F9"/>
    <w:rsid w:val="00243E0C"/>
    <w:rsid w:val="0025564E"/>
    <w:rsid w:val="00292D13"/>
    <w:rsid w:val="002E2837"/>
    <w:rsid w:val="002F5F71"/>
    <w:rsid w:val="00307980"/>
    <w:rsid w:val="00325B5C"/>
    <w:rsid w:val="00343514"/>
    <w:rsid w:val="003819E7"/>
    <w:rsid w:val="00383DE1"/>
    <w:rsid w:val="00395F8A"/>
    <w:rsid w:val="003A3470"/>
    <w:rsid w:val="003E1D6C"/>
    <w:rsid w:val="00414AA1"/>
    <w:rsid w:val="00425742"/>
    <w:rsid w:val="00447F26"/>
    <w:rsid w:val="00476F0A"/>
    <w:rsid w:val="00484037"/>
    <w:rsid w:val="004C0708"/>
    <w:rsid w:val="004C79E7"/>
    <w:rsid w:val="00507719"/>
    <w:rsid w:val="0050776A"/>
    <w:rsid w:val="005268B6"/>
    <w:rsid w:val="00537AE2"/>
    <w:rsid w:val="0054646B"/>
    <w:rsid w:val="005478E0"/>
    <w:rsid w:val="00590A37"/>
    <w:rsid w:val="005E60A0"/>
    <w:rsid w:val="00653DD1"/>
    <w:rsid w:val="00677382"/>
    <w:rsid w:val="00677EA9"/>
    <w:rsid w:val="006965D8"/>
    <w:rsid w:val="006C7B51"/>
    <w:rsid w:val="00715236"/>
    <w:rsid w:val="00765E89"/>
    <w:rsid w:val="007B3074"/>
    <w:rsid w:val="00844EEB"/>
    <w:rsid w:val="00867F88"/>
    <w:rsid w:val="0087373B"/>
    <w:rsid w:val="008A5DAF"/>
    <w:rsid w:val="008B00DE"/>
    <w:rsid w:val="008C51F2"/>
    <w:rsid w:val="009030BA"/>
    <w:rsid w:val="00913357"/>
    <w:rsid w:val="00932DB6"/>
    <w:rsid w:val="00951300"/>
    <w:rsid w:val="00953F5F"/>
    <w:rsid w:val="00961588"/>
    <w:rsid w:val="009F0610"/>
    <w:rsid w:val="00A67CF8"/>
    <w:rsid w:val="00AB283C"/>
    <w:rsid w:val="00AB4AFD"/>
    <w:rsid w:val="00B157D6"/>
    <w:rsid w:val="00B33C03"/>
    <w:rsid w:val="00B83599"/>
    <w:rsid w:val="00B84AD9"/>
    <w:rsid w:val="00BA5E96"/>
    <w:rsid w:val="00BD16F5"/>
    <w:rsid w:val="00BD29C5"/>
    <w:rsid w:val="00BE7931"/>
    <w:rsid w:val="00BF007F"/>
    <w:rsid w:val="00C0642E"/>
    <w:rsid w:val="00C26FF5"/>
    <w:rsid w:val="00C444B3"/>
    <w:rsid w:val="00C46741"/>
    <w:rsid w:val="00C55E3E"/>
    <w:rsid w:val="00C82ACF"/>
    <w:rsid w:val="00CA7C5C"/>
    <w:rsid w:val="00CB1689"/>
    <w:rsid w:val="00CB4965"/>
    <w:rsid w:val="00CD381C"/>
    <w:rsid w:val="00CE38B5"/>
    <w:rsid w:val="00CF0BAE"/>
    <w:rsid w:val="00CF1829"/>
    <w:rsid w:val="00D10CC9"/>
    <w:rsid w:val="00D132C6"/>
    <w:rsid w:val="00D13B9E"/>
    <w:rsid w:val="00D42057"/>
    <w:rsid w:val="00D71E63"/>
    <w:rsid w:val="00DB26A3"/>
    <w:rsid w:val="00E25323"/>
    <w:rsid w:val="00E64DA9"/>
    <w:rsid w:val="00E742EF"/>
    <w:rsid w:val="00E76B88"/>
    <w:rsid w:val="00E8580C"/>
    <w:rsid w:val="00E969C8"/>
    <w:rsid w:val="00F432F5"/>
    <w:rsid w:val="00F553D3"/>
    <w:rsid w:val="00F6179E"/>
    <w:rsid w:val="00F669B5"/>
    <w:rsid w:val="00F75E2B"/>
    <w:rsid w:val="00F95024"/>
    <w:rsid w:val="1818301E"/>
    <w:rsid w:val="23F47996"/>
    <w:rsid w:val="5C04525B"/>
    <w:rsid w:val="763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xlletr"/>
    <w:basedOn w:val="11"/>
    <w:qFormat/>
    <w:uiPriority w:val="0"/>
  </w:style>
  <w:style w:type="character" w:customStyle="1" w:styleId="18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</w:style>
  <w:style w:type="paragraph" w:customStyle="1" w:styleId="20">
    <w:name w:val="paragraph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1"/>
    <w:link w:val="4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789</Words>
  <Characters>4499</Characters>
  <Lines>37</Lines>
  <Paragraphs>10</Paragraphs>
  <TotalTime>1</TotalTime>
  <ScaleCrop>false</ScaleCrop>
  <LinksUpToDate>false</LinksUpToDate>
  <CharactersWithSpaces>5278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2021-04-02T01:55:00Z</dcterms:created>
  <dc:creator>HP</dc:creator>
  <cp:lastModifiedBy>*^_^*</cp:lastModifiedBy>
  <cp:lastPrinted>2021-04-02T01:42:00Z</cp:lastPrinted>
  <dcterms:modified xsi:type="dcterms:W3CDTF">2021-04-02T02:12:59Z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